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F3481B">
        <w:t xml:space="preserve"> за 1 квартал 2021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65110F" w:rsidP="008C7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65110F" w:rsidP="008C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5E31F4" w:rsidRDefault="005E31F4" w:rsidP="00127F12">
            <w:pPr>
              <w:pStyle w:val="ConsPlusNormal"/>
            </w:pPr>
            <w:r w:rsidRPr="005E31F4">
              <w:t>190,214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F79CE" w:rsidRDefault="005E31F4" w:rsidP="00127F12">
            <w:pPr>
              <w:pStyle w:val="ConsPlusNormal"/>
            </w:pPr>
            <w:r w:rsidRPr="005E31F4">
              <w:t>190,214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56F70"/>
    <w:rsid w:val="00767807"/>
    <w:rsid w:val="0079769E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7112"/>
    <w:rsid w:val="00F3481B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47</cp:revision>
  <cp:lastPrinted>2021-04-12T13:24:00Z</cp:lastPrinted>
  <dcterms:created xsi:type="dcterms:W3CDTF">2019-01-10T08:27:00Z</dcterms:created>
  <dcterms:modified xsi:type="dcterms:W3CDTF">2021-04-12T13:24:00Z</dcterms:modified>
</cp:coreProperties>
</file>